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ind w:firstLine="0"/>
        <w:rPr>
          <w:rFonts w:ascii="方正黑体_GBK" w:eastAsia="方正黑体_GBK" w:cs="方正黑体_GBK"/>
          <w:sz w:val="32"/>
          <w:szCs w:val="32"/>
        </w:rPr>
      </w:pPr>
      <w:bookmarkStart w:id="0" w:name="_GoBack"/>
      <w:bookmarkEnd w:id="0"/>
      <w:r>
        <w:rPr>
          <w:rFonts w:ascii="方正黑体_GBK" w:eastAsia="方正黑体_GBK" w:cs="方正黑体_GBK" w:hint="eastAsia"/>
          <w:sz w:val="32"/>
          <w:szCs w:val="32"/>
        </w:rPr>
        <w:t>附件1</w:t>
      </w:r>
    </w:p>
    <w:p>
      <w:pPr>
        <w:spacing w:line="56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比选采购需求书</w:t>
      </w:r>
    </w:p>
    <w:tbl>
      <w:tblPr>
        <w:jc w:val="left"/>
        <w:tblInd w:w="0" w:type="dxa"/>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198"/>
        <w:gridCol w:w="6862"/>
      </w:tblGrid>
      <w:tr>
        <w:tc>
          <w:tcPr>
            <w:tcW w:w="9060"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基础信息栏</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项目名称</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包头海关综合技术服务中心实验室气体采购项目</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需求部门</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包头海关综合技术服务中心</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采购预算</w:t>
            </w:r>
          </w:p>
        </w:tc>
        <w:tc>
          <w:tcPr>
            <w:tcW w:w="6862" w:type="dxa"/>
            <w:vAlign w:val="center"/>
          </w:tcPr>
          <w:p>
            <w:pPr>
              <w:spacing w:line="560" w:lineRule="exact"/>
              <w:jc w:val="center"/>
              <w:rPr>
                <w:rFonts w:ascii="方正仿宋_GBK" w:eastAsia="方正仿宋_GBK" w:cs="方正仿宋_GBK"/>
                <w:sz w:val="28"/>
                <w:szCs w:val="28"/>
              </w:rPr>
            </w:pPr>
            <w:r>
              <w:rPr>
                <w:rFonts w:ascii="Times New Roman" w:eastAsia="方正仿宋_GBK" w:cs="Times New Roman" w:hAnsi="Times New Roman"/>
                <w:sz w:val="28"/>
                <w:szCs w:val="28"/>
              </w:rPr>
              <w:t>5.9</w:t>
            </w:r>
            <w:r>
              <w:rPr>
                <w:rFonts w:ascii="方正仿宋_GBK" w:eastAsia="方正仿宋_GBK" w:cs="方正仿宋_GBK"/>
                <w:sz w:val="28"/>
                <w:szCs w:val="28"/>
              </w:rPr>
              <w:t>万（总采购量）</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审批文件</w:t>
            </w:r>
          </w:p>
        </w:tc>
        <w:tc>
          <w:tcPr>
            <w:tcW w:w="6862" w:type="dxa"/>
            <w:vAlign w:val="center"/>
          </w:tcPr>
          <w:p>
            <w:pPr>
              <w:spacing w:line="560" w:lineRule="exact"/>
              <w:jc w:val="center"/>
              <w:rPr>
                <w:rFonts w:ascii="方正仿宋_GBK" w:eastAsia="方正仿宋_GBK" w:cs="方正仿宋_GBK"/>
                <w:sz w:val="28"/>
                <w:szCs w:val="28"/>
              </w:rPr>
            </w:pP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经费来源</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财政经费（海关法检业务工作专项）</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评审方法</w:t>
            </w:r>
          </w:p>
        </w:tc>
        <w:tc>
          <w:tcPr>
            <w:tcW w:w="6862" w:type="dxa"/>
            <w:vAlign w:val="center"/>
          </w:tcPr>
          <w:p>
            <w:pPr>
              <w:spacing w:line="400" w:lineRule="exact"/>
              <w:jc w:val="left"/>
              <w:rPr>
                <w:rFonts w:ascii="方正仿宋_GBK" w:eastAsia="方正仿宋_GBK" w:cs="方正仿宋_GBK"/>
                <w:sz w:val="28"/>
                <w:szCs w:val="28"/>
              </w:rPr>
            </w:pPr>
            <w:r>
              <w:rPr>
                <w:rFonts w:ascii="Wingdings 2" w:eastAsia="方正仿宋_GBK" w:cs="Wingdings 2" w:hAnsi="Wingdings 2"/>
                <w:sz w:val="28"/>
                <w:szCs w:val="28"/>
              </w:rPr>
              <w:t>R</w:t>
            </w:r>
            <w:r>
              <w:rPr>
                <w:rFonts w:ascii="方正仿宋_GBK" w:eastAsia="方正仿宋_GBK" w:cs="方正仿宋_GBK" w:hint="eastAsia"/>
                <w:sz w:val="28"/>
                <w:szCs w:val="28"/>
              </w:rPr>
              <w:t>最低价法</w:t>
            </w:r>
          </w:p>
          <w:p>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sym w:font="Wingdings 2" w:char="A3"/>
            </w:r>
            <w:r>
              <w:rPr>
                <w:rFonts w:ascii="方正仿宋_GBK" w:eastAsia="方正仿宋_GBK" w:cs="方正仿宋_GBK" w:hint="eastAsia"/>
                <w:sz w:val="28"/>
                <w:szCs w:val="28"/>
              </w:rPr>
              <w:t>综合评分法（权重：价格</w:t>
            </w:r>
            <w:r>
              <w:rPr>
                <w:rFonts w:ascii="Times New Roman" w:eastAsia="方正仿宋_GBK" w:cs="Times New Roman" w:hAnsi="Times New Roman"/>
                <w:sz w:val="28"/>
                <w:szCs w:val="28"/>
              </w:rPr>
              <w:t>XX%</w:t>
            </w:r>
            <w:r>
              <w:rPr>
                <w:rFonts w:ascii="方正仿宋_GBK" w:eastAsia="方正仿宋_GBK" w:cs="方正仿宋_GBK" w:hint="eastAsia"/>
                <w:sz w:val="28"/>
                <w:szCs w:val="28"/>
              </w:rPr>
              <w:t>、评审因素</w:t>
            </w:r>
            <w:r>
              <w:rPr>
                <w:rFonts w:ascii="Times New Roman" w:eastAsia="方正仿宋_GBK" w:cs="Times New Roman" w:hAnsi="Times New Roman"/>
                <w:sz w:val="28"/>
                <w:szCs w:val="28"/>
              </w:rPr>
              <w:t>XX%</w:t>
            </w:r>
            <w:r>
              <w:rPr>
                <w:rFonts w:ascii="方正仿宋_GBK" w:eastAsia="方正仿宋_GBK" w:cs="方正仿宋_GBK" w:hint="eastAsia"/>
                <w:sz w:val="28"/>
                <w:szCs w:val="28"/>
              </w:rPr>
              <w:t>）</w:t>
            </w:r>
          </w:p>
        </w:tc>
      </w:tr>
      <w:tr>
        <w:trPr>
          <w:trHeight w:val="567"/>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编制人</w:t>
            </w:r>
          </w:p>
        </w:tc>
        <w:tc>
          <w:tcPr>
            <w:tcW w:w="6862" w:type="dxa"/>
            <w:vAlign w:val="center"/>
          </w:tcPr>
          <w:p>
            <w:pPr>
              <w:spacing w:line="560" w:lineRule="exact"/>
              <w:jc w:val="center"/>
              <w:rPr>
                <w:rFonts w:ascii="方正仿宋_GBK" w:eastAsia="方正仿宋_GBK" w:cs="方正仿宋_GBK"/>
                <w:sz w:val="28"/>
                <w:szCs w:val="28"/>
              </w:rPr>
            </w:pP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复核人</w:t>
            </w:r>
          </w:p>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（科室负责人）</w:t>
            </w:r>
          </w:p>
        </w:tc>
        <w:tc>
          <w:tcPr>
            <w:tcW w:w="6862" w:type="dxa"/>
            <w:vAlign w:val="center"/>
          </w:tcPr>
          <w:p>
            <w:pPr>
              <w:spacing w:line="560" w:lineRule="exact"/>
              <w:jc w:val="center"/>
              <w:rPr>
                <w:rFonts w:ascii="方正仿宋_GBK" w:eastAsia="方正仿宋_GBK" w:cs="方正仿宋_GBK"/>
                <w:sz w:val="28"/>
                <w:szCs w:val="28"/>
              </w:rPr>
            </w:pP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审核人</w:t>
            </w:r>
          </w:p>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w:t>
            </w:r>
            <w:r>
              <w:rPr>
                <w:rFonts w:ascii="方正仿宋_GBK" w:eastAsia="方正仿宋_GBK" w:cs="方正仿宋_GBK"/>
                <w:sz w:val="28"/>
                <w:szCs w:val="28"/>
              </w:rPr>
              <w:t>主管关领导</w:t>
            </w:r>
            <w:r>
              <w:rPr>
                <w:rFonts w:ascii="方正仿宋_GBK" w:eastAsia="方正仿宋_GBK" w:cs="方正仿宋_GBK" w:hint="eastAsia"/>
                <w:sz w:val="28"/>
                <w:szCs w:val="28"/>
              </w:rPr>
              <w:t>）</w:t>
            </w:r>
          </w:p>
        </w:tc>
        <w:tc>
          <w:tcPr>
            <w:tcW w:w="6862" w:type="dxa"/>
            <w:vAlign w:val="center"/>
          </w:tcPr>
          <w:p>
            <w:pPr>
              <w:spacing w:line="560" w:lineRule="exact"/>
              <w:jc w:val="center"/>
              <w:rPr>
                <w:rFonts w:ascii="方正仿宋_GBK" w:eastAsia="方正仿宋_GBK" w:cs="方正仿宋_GBK"/>
                <w:sz w:val="28"/>
                <w:szCs w:val="28"/>
              </w:rPr>
            </w:pPr>
          </w:p>
        </w:tc>
      </w:tr>
      <w:tr>
        <w:tc>
          <w:tcPr>
            <w:tcW w:w="9060"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详细需求栏</w:t>
            </w:r>
          </w:p>
        </w:tc>
      </w:tr>
      <w:tr>
        <w:trPr>
          <w:trHeight w:val="4731"/>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说明</w:t>
            </w:r>
          </w:p>
        </w:tc>
        <w:tc>
          <w:tcPr>
            <w:tcW w:w="6862" w:type="dxa"/>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1.不满足资格条件的响应文件将按无效响应文件处理。</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2.</w:t>
            </w:r>
            <w:r>
              <w:rPr>
                <w:rFonts w:ascii="方正仿宋_GBK" w:eastAsia="方正仿宋_GBK" w:cs="方正仿宋_GBK" w:hint="eastAsia"/>
                <w:sz w:val="28"/>
                <w:szCs w:val="28"/>
              </w:rPr>
              <w:t>详细需求栏中所有加“★”项的需求均为实质性要求，不满足实质性要求的响应文件将按无效响应文件处理。</w:t>
            </w:r>
          </w:p>
        </w:tc>
      </w:tr>
      <w:tr>
        <w:trPr>
          <w:trHeight w:val="3109"/>
        </w:trPr>
        <w:tc>
          <w:tcPr>
            <w:tcW w:w="2198" w:type="dxa"/>
            <w:vAlign w:val="center"/>
          </w:tcPr>
          <w:p>
            <w:pPr>
              <w:spacing w:line="560" w:lineRule="exact"/>
              <w:jc w:val="center"/>
              <w:rPr>
                <w:rFonts w:ascii="Times New Roman" w:eastAsia="方正仿宋_GBK" w:cs="Times New Roman" w:hAnsi="Times New Roman" w:hint="eastAsia"/>
                <w:sz w:val="28"/>
                <w:szCs w:val="28"/>
              </w:rPr>
            </w:pPr>
            <w:r>
              <w:rPr>
                <w:rFonts w:ascii="Times New Roman" w:eastAsia="方正仿宋_GBK" w:cs="Times New Roman" w:hAnsi="Times New Roman" w:hint="eastAsia"/>
                <w:sz w:val="28"/>
                <w:szCs w:val="28"/>
              </w:rPr>
              <w:t>资格条件</w:t>
            </w:r>
          </w:p>
        </w:tc>
        <w:tc>
          <w:tcPr>
            <w:tcW w:w="6862" w:type="dxa"/>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1.具有独立承担民事责任的能力。</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2.</w:t>
            </w:r>
            <w:r>
              <w:rPr>
                <w:rFonts w:ascii="Times New Roman" w:eastAsia="方正仿宋_GBK" w:cs="Times New Roman" w:hAnsi="Times New Roman"/>
                <w:sz w:val="28"/>
                <w:szCs w:val="28"/>
              </w:rPr>
              <w:t>具备销售该类货物应具备的相应资质。</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3.能够提供不低于国家相关法律法规要求的质量保证。</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4.能够及时提供售后服务。</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5.提供相关营业执照、经办人授权、详细报价等材料。</w:t>
            </w:r>
          </w:p>
          <w:p>
            <w:pPr>
              <w:spacing w:line="400" w:lineRule="exact"/>
              <w:rPr>
                <w:rFonts w:ascii="方正仿宋_GBK" w:eastAsia="方正仿宋_GBK" w:cs="方正仿宋_GBK"/>
                <w:sz w:val="28"/>
                <w:szCs w:val="28"/>
              </w:rPr>
            </w:pPr>
          </w:p>
        </w:tc>
      </w:tr>
      <w:tr>
        <w:trPr>
          <w:trHeight w:val="1082"/>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w:t>
            </w:r>
          </w:p>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实质性需求</w:t>
            </w:r>
          </w:p>
        </w:tc>
        <w:tc>
          <w:tcPr>
            <w:tcW w:w="6862" w:type="dxa"/>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预计采购高纯氧气（4N）60瓶、高纯氩气20瓶、高纯氮气15瓶、氩甲烷气（10%甲烷+90%氩气）6瓶，气瓶容积40L。若位于昆区少先路18号街坊的包头海关综合技术服务中心实验室有用气需求，供货商需免费配送，根据合同约定结算气体费用。</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2.采购气体运输服务，供货商需配备有实验室气体气瓶运输资质的车辆，将储存气体的气瓶运送至包头满都拉口岸包头海关综合技术服务中心实验室，每次运送气瓶约25个，每完成一次运送，结算当批气体及运输费用，预计运送三次。</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3.供货商需提供气体纯度检测报告并保障气体纯度及质量，如综合技术服务中心的相关设备因使用有质量问题气体造成设备损坏或其他相关损失，由供货商赔偿相应损失，举证鉴定相关费用亦由供货商承担。</w:t>
            </w:r>
          </w:p>
        </w:tc>
      </w:tr>
      <w:tr>
        <w:trPr>
          <w:trHeight w:val="620"/>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评审因素</w:t>
            </w:r>
          </w:p>
        </w:tc>
        <w:tc>
          <w:tcPr>
            <w:tcW w:w="6862" w:type="dxa"/>
          </w:tcPr>
          <w:p>
            <w:pPr>
              <w:spacing w:line="560" w:lineRule="exact"/>
              <w:jc w:val="left"/>
              <w:rPr>
                <w:rFonts w:ascii="方正仿宋_GBK" w:eastAsia="方正仿宋_GBK" w:cs="方正仿宋_GBK"/>
                <w:sz w:val="28"/>
                <w:szCs w:val="28"/>
              </w:rPr>
            </w:pPr>
          </w:p>
        </w:tc>
      </w:tr>
      <w:tr>
        <w:trPr>
          <w:trHeight w:val="2545"/>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其他因素</w:t>
            </w:r>
          </w:p>
        </w:tc>
        <w:tc>
          <w:tcPr>
            <w:tcW w:w="6862" w:type="dxa"/>
          </w:tcPr>
          <w:p>
            <w:pPr>
              <w:spacing w:line="400" w:lineRule="exact"/>
              <w:jc w:val="left"/>
              <w:rPr>
                <w:rFonts w:ascii="方正仿宋_GBK" w:eastAsia="方正仿宋_GBK" w:cs="方正仿宋_GBK"/>
                <w:sz w:val="28"/>
                <w:szCs w:val="28"/>
              </w:rPr>
            </w:pPr>
            <w:r>
              <w:rPr>
                <w:rFonts w:ascii="Times New Roman" w:eastAsia="方正仿宋_GBK" w:cs="Times New Roman" w:hAnsi="Times New Roman"/>
                <w:sz w:val="28"/>
                <w:szCs w:val="28"/>
              </w:rPr>
              <w:t>1、</w:t>
            </w:r>
            <w:r>
              <w:rPr>
                <w:rFonts w:ascii="方正仿宋_GBK" w:eastAsia="方正仿宋_GBK" w:cs="方正仿宋_GBK" w:hint="eastAsia"/>
                <w:sz w:val="28"/>
                <w:szCs w:val="28"/>
              </w:rPr>
              <w:t>公告期限（</w:t>
            </w:r>
            <w:r>
              <w:rPr>
                <w:rFonts w:ascii="Times New Roman" w:eastAsia="方正仿宋_GBK" w:cs="Times New Roman" w:hAnsi="Times New Roman"/>
                <w:sz w:val="28"/>
                <w:szCs w:val="28"/>
              </w:rPr>
              <w:t>3</w:t>
            </w:r>
            <w:r>
              <w:rPr>
                <w:rFonts w:ascii="方正仿宋_GBK" w:eastAsia="方正仿宋_GBK" w:cs="方正仿宋_GBK" w:hint="eastAsia"/>
                <w:sz w:val="28"/>
                <w:szCs w:val="28"/>
              </w:rPr>
              <w:t>个工作日）</w:t>
            </w:r>
          </w:p>
          <w:p>
            <w:pPr>
              <w:spacing w:line="400" w:lineRule="exact"/>
              <w:jc w:val="left"/>
              <w:rPr>
                <w:rFonts w:ascii="方正仿宋_GBK" w:eastAsia="方正仿宋_GBK" w:cs="方正仿宋_GBK"/>
                <w:sz w:val="28"/>
                <w:szCs w:val="28"/>
              </w:rPr>
            </w:pPr>
            <w:r>
              <w:rPr>
                <w:rFonts w:ascii="Times New Roman" w:eastAsia="方正仿宋_GBK" w:cs="Times New Roman" w:hAnsi="Times New Roman"/>
                <w:sz w:val="28"/>
                <w:szCs w:val="28"/>
              </w:rPr>
              <w:t>2、</w:t>
            </w:r>
            <w:r>
              <w:rPr>
                <w:rFonts w:ascii="方正仿宋_GBK" w:eastAsia="方正仿宋_GBK" w:cs="方正仿宋_GBK" w:hint="eastAsia"/>
                <w:sz w:val="28"/>
                <w:szCs w:val="28"/>
              </w:rPr>
              <w:t>响应文件份数（</w:t>
            </w:r>
            <w:r>
              <w:rPr>
                <w:rFonts w:ascii="Times New Roman" w:eastAsia="方正仿宋_GBK" w:cs="Times New Roman" w:hAnsi="Times New Roman"/>
                <w:sz w:val="28"/>
                <w:szCs w:val="28"/>
              </w:rPr>
              <w:t>4</w:t>
            </w:r>
            <w:r>
              <w:rPr>
                <w:rFonts w:ascii="方正仿宋_GBK" w:eastAsia="方正仿宋_GBK" w:cs="方正仿宋_GBK"/>
                <w:sz w:val="28"/>
                <w:szCs w:val="28"/>
              </w:rPr>
              <w:t>份</w:t>
            </w:r>
            <w:r>
              <w:rPr>
                <w:rFonts w:ascii="方正仿宋_GBK" w:eastAsia="方正仿宋_GBK" w:cs="方正仿宋_GBK" w:hint="eastAsia"/>
                <w:sz w:val="28"/>
                <w:szCs w:val="28"/>
              </w:rPr>
              <w:t>）</w:t>
            </w:r>
          </w:p>
        </w:tc>
      </w:tr>
    </w:tbl>
    <w:p>
      <w:pPr>
        <w:spacing w:line="240" w:lineRule="auto"/>
        <w:rPr>
          <w:rFonts w:ascii="方正仿宋_GBK" w:eastAsia="方正仿宋_GBK" w:cs="方正仿宋_GBK"/>
          <w:sz w:val="32"/>
          <w:szCs w:val="32"/>
        </w:rPr>
      </w:pPr>
    </w:p>
    <w:p>
      <w:pPr>
        <w:spacing w:line="560" w:lineRule="exact"/>
        <w:jc w:val="right"/>
        <w:rPr>
          <w:rFonts w:ascii="方正仿宋_GBK" w:eastAsia="方正仿宋_GBK" w:cs="方正仿宋_GBK"/>
          <w:sz w:val="32"/>
          <w:szCs w:val="32"/>
        </w:rPr>
      </w:pPr>
    </w:p>
    <w:p>
      <w:pPr>
        <w:rPr>
          <w:rFonts w:ascii="宋体"/>
        </w:rPr>
      </w:pPr>
    </w:p>
    <w:sectPr>
      <w:footerReference w:type="default" r:id="rId2"/>
      <w:footerReference w:type="even" r:id="rId3"/>
      <w:pgSz w:w="11906" w:h="16838"/>
      <w:pgMar w:top="1440" w:right="1800" w:bottom="1440" w:left="1800"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方正楷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Wingdings 2">
    <w:panose1 w:val="05020102010507070707"/>
    <w:charset w:val="02"/>
    <w:family w:val="auto"/>
    <w:pitch w:val="variable"/>
    <w:sig w:usb0="00000000" w:usb1="00000000" w:usb2="00000000" w:usb3="00000000" w:csb0="80000000" w:csb1="00000000"/>
  </w:font>
  <w:font w:name="宋体">
    <w:panose1 w:val="02010600030101010101"/>
    <w:charset w:val="86"/>
    <w:family w:val="auto"/>
    <w:pitch w:val="variable"/>
    <w:sig w:usb0="00000003" w:usb1="080E0000" w:usb2="00000000" w:usb3="00000000" w:csb0="00040001" w:csb1="00000000"/>
  </w:font>
  <w:font w:name="Calibri">
    <w:panose1 w:val="020F0502020204030204"/>
    <w:charset w:val="00"/>
    <w:family w:val="auto"/>
    <w:pitch w:val="variable"/>
    <w:sig w:usb0="E00002FF" w:usb1="4000ACFF" w:usb2="00000001" w:usb3="00000000" w:csb0="2000019F" w:csb1="00000000"/>
  </w:font>
  <w:font w:name="Arial">
    <w:altName w:val="Times New Roman"/>
    <w:panose1 w:val="020B0604020202020204"/>
    <w:charset w:val="01"/>
    <w:family w:val="swiss"/>
    <w:pitch w:val="variable"/>
    <w:sig w:usb0="E0002AFF" w:usb1="C0007843" w:usb2="00000009" w:usb3="00000000" w:csb0="400001FF" w:csb1="FFFF0000"/>
  </w:font>
  <w:font w:name="黑体">
    <w:panose1 w:val="02010600030101010101"/>
    <w:charset w:val="86"/>
    <w:family w:val="auto"/>
    <w:pitch w:val="variable"/>
    <w:sig w:usb0="00000001" w:usb1="080E0000" w:usb2="00000000" w:usb3="00000000" w:csb0="0004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0"/>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6"/>
      </w:tabs>
    </w:pPr>
    <w:r>
      <w:rPr>
        <w:rStyle w:val="17"/>
      </w:rPr>
      <w:fldChar w:fldCharType="begin"/>
    </w:r>
    <w:r>
      <w:rPr>
        <w:rStyle w:val="17"/>
      </w:rPr>
      <w:instrText>Page</w:instrText>
    </w:r>
    <w:r>
      <w:rPr>
        <w:rStyle w:val="17"/>
      </w:rPr>
      <w:fldChar w:fldCharType="separate"/>
    </w:r>
    <w:r>
      <w:rPr>
        <w:rStyle w:val="17"/>
      </w:rPr>
      <w:t>1</w:t>
    </w:r>
    <w:r>
      <w:rPr>
        <w:rStyle w:val="17"/>
      </w:rPr>
      <w:fldChar w:fldCharType="end"/>
    </w:r>
  </w:p>
  <w:p>
    <w:pPr>
      <w:pStyle w:val="20"/>
      <w:tabs>
        <w:tab w:val="center" w:pos="4153"/>
        <w:tab w:val="right" w:pos="8306"/>
      </w:tabs>
      <w:ind w:right="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6"/>
      </w:tabs>
    </w:pPr>
    <w:r>
      <w:rPr>
        <w:rStyle w:val="17"/>
      </w:rPr>
      <w:fldChar w:fldCharType="begin"/>
    </w:r>
    <w:r>
      <w:rPr>
        <w:rStyle w:val="17"/>
      </w:rPr>
      <w:instrText>Page</w:instrText>
    </w:r>
    <w:r>
      <w:rPr>
        <w:rStyle w:val="17"/>
      </w:rPr>
      <w:fldChar w:fldCharType="separate"/>
    </w:r>
    <w:r>
      <w:rPr>
        <w:rStyle w:val="17"/>
      </w:rPr>
      <w:t>1</w:t>
    </w:r>
    <w:r>
      <w:rPr>
        <w:rStyle w:val="17"/>
      </w:rPr>
      <w:fldChar w:fldCharType="end"/>
    </w:r>
  </w:p>
  <w:p>
    <w:pPr>
      <w:pStyle w:val="16"/>
      <w:tabs>
        <w:tab w:val="center" w:pos="4153"/>
        <w:tab w:val="right" w:pos="8306"/>
      </w:tabs>
      <w:ind w:right="360"/>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4"/>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Arial" w:eastAsia="黑体" w:hAnsi="Arial"/>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index 6"/>
    <w:basedOn w:val="0"/>
    <w:autoRedefine/>
    <w:next w:val="0"/>
    <w:pPr>
      <w:ind w:left="2100"/>
    </w:pPr>
  </w:style>
  <w:style w:type="paragraph" w:styleId="16">
    <w:name w:val="footer"/>
    <w:next w:val="15"/>
    <w:pPr>
      <w:widowControl w:val="0"/>
      <w:tabs>
        <w:tab w:val="center" w:pos="4153"/>
        <w:tab w:val="right" w:pos="8306"/>
      </w:tabs>
      <w:snapToGrid w:val="0"/>
      <w:jc w:val="left"/>
    </w:pPr>
    <w:rPr>
      <w:rFonts w:ascii="Calibri" w:eastAsia="宋体" w:cs="Arial" w:hAnsi="Calibri"/>
      <w:kern w:val="2"/>
      <w:sz w:val="18"/>
      <w:szCs w:val="18"/>
      <w:lang w:val="en-US" w:eastAsia="zh-CN" w:bidi="ar-SA"/>
    </w:rPr>
  </w:style>
  <w:style w:type="character" w:styleId="17">
    <w:name w:val="page number"/>
  </w:style>
  <w:style w:type="character" w:styleId="18">
    <w:name w:val="endnote reference"/>
    <w:basedOn w:val="10"/>
    <w:rPr>
      <w:vertAlign w:val="superscript"/>
    </w:rPr>
  </w:style>
  <w:style w:type="paragraph" w:customStyle="1" w:styleId="19">
    <w:name w:val="样式 22 10 磅"/>
    <w:next w:val="18"/>
    <w:pPr>
      <w:widowControl w:val="0"/>
      <w:jc w:val="both"/>
    </w:pPr>
    <w:rPr>
      <w:rFonts w:ascii="Calibri" w:eastAsia="宋体" w:cs="Arial" w:hAnsi="Calibri"/>
      <w:kern w:val="2"/>
      <w:sz w:val="21"/>
      <w:szCs w:val="24"/>
      <w:lang w:val="en-US" w:eastAsia="zh-CN" w:bidi="ar-SA"/>
    </w:rPr>
  </w:style>
  <w:style w:type="paragraph" w:customStyle="1" w:styleId="20">
    <w:name w:val="样式 小五"/>
    <w:pPr>
      <w:widowControl w:val="0"/>
      <w:tabs>
        <w:tab w:val="center" w:pos="4153"/>
        <w:tab w:val="right" w:pos="8306"/>
      </w:tabs>
      <w:snapToGrid w:val="0"/>
      <w:jc w:val="left"/>
    </w:pPr>
    <w:rPr>
      <w:rFonts w:ascii="Calibri" w:eastAsia="宋体" w:cs="Arial" w:hAnsi="Calibri"/>
      <w:kern w:val="2"/>
      <w:sz w:val="18"/>
      <w:szCs w:val="18"/>
      <w:lang w:val="en-US" w:eastAsia="zh-CN" w:bidi="ar-SA"/>
    </w:rPr>
  </w:style>
  <w:style w:type="paragraph" w:customStyle="1" w:styleId="21">
    <w:name w:val="样式 10 磅"/>
    <w:pPr>
      <w:widowControl w:val="0"/>
      <w:jc w:val="both"/>
    </w:pPr>
    <w:rPr>
      <w:rFonts w:ascii="Calibri" w:eastAsia="宋体" w:cs="Arial" w:hAnsi="Calibri"/>
      <w:kern w:val="2"/>
      <w:sz w:val="21"/>
      <w:szCs w:val="24"/>
      <w:lang w:val="en-US" w:eastAsia="zh-CN" w:bidi="ar-SA"/>
    </w:rPr>
  </w:style>
  <w:style w:type="paragraph" w:customStyle="1" w:styleId="22">
    <w:name w:val="样式 1 10 磅"/>
    <w:pPr>
      <w:widowControl w:val="0"/>
      <w:jc w:val="both"/>
    </w:pPr>
    <w:rPr>
      <w:rFonts w:ascii="Calibri" w:eastAsia="宋体" w:cs="Arial" w:hAnsi="Calibri"/>
      <w:kern w:val="2"/>
      <w:sz w:val="21"/>
      <w:szCs w:val="24"/>
      <w:lang w:val="en-US" w:eastAsia="zh-CN" w:bidi="ar-SA"/>
    </w:rPr>
  </w:style>
  <w:style w:type="paragraph" w:customStyle="1" w:styleId="23">
    <w:name w:val="样式 2 10 磅"/>
    <w:pPr>
      <w:widowControl w:val="0"/>
      <w:jc w:val="both"/>
    </w:pPr>
    <w:rPr>
      <w:rFonts w:ascii="Calibri" w:eastAsia="宋体" w:cs="Arial" w:hAnsi="Calibri"/>
      <w:kern w:val="2"/>
      <w:sz w:val="21"/>
      <w:szCs w:val="24"/>
      <w:lang w:val="en-US" w:eastAsia="zh-CN" w:bidi="ar-SA"/>
    </w:rPr>
  </w:style>
  <w:style w:type="paragraph" w:customStyle="1" w:styleId="24">
    <w:name w:val="样式 3 10 磅"/>
    <w:pPr>
      <w:widowControl w:val="0"/>
      <w:jc w:val="both"/>
    </w:pPr>
    <w:rPr>
      <w:rFonts w:ascii="Calibri" w:eastAsia="宋体" w:cs="Arial" w:hAnsi="Calibri"/>
      <w:kern w:val="2"/>
      <w:sz w:val="21"/>
      <w:szCs w:val="24"/>
      <w:lang w:val="en-US" w:eastAsia="zh-CN" w:bidi="ar-SA"/>
    </w:rPr>
  </w:style>
  <w:style w:type="paragraph" w:customStyle="1" w:styleId="25">
    <w:name w:val="样式 4 10 磅"/>
    <w:pPr>
      <w:widowControl w:val="0"/>
      <w:jc w:val="both"/>
    </w:pPr>
    <w:rPr>
      <w:rFonts w:ascii="Calibri" w:eastAsia="宋体" w:cs="Arial" w:hAnsi="Calibri"/>
      <w:kern w:val="2"/>
      <w:sz w:val="21"/>
      <w:szCs w:val="24"/>
      <w:lang w:val="en-US" w:eastAsia="zh-CN" w:bidi="ar-SA"/>
    </w:rPr>
  </w:style>
  <w:style w:type="paragraph" w:customStyle="1" w:styleId="26">
    <w:name w:val="样式 5 10 磅"/>
    <w:pPr>
      <w:widowControl w:val="0"/>
      <w:jc w:val="both"/>
    </w:pPr>
    <w:rPr>
      <w:rFonts w:ascii="Calibri" w:eastAsia="宋体" w:cs="Arial" w:hAnsi="Calibri"/>
      <w:kern w:val="2"/>
      <w:sz w:val="21"/>
      <w:szCs w:val="24"/>
      <w:lang w:val="en-US" w:eastAsia="zh-CN" w:bidi="ar-SA"/>
    </w:rPr>
  </w:style>
  <w:style w:type="paragraph" w:customStyle="1" w:styleId="27">
    <w:name w:val="样式 6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394</TotalTime>
  <Application>Yozo_Office</Application>
  <Pages>2</Pages>
  <Words>660</Words>
  <Characters>689</Characters>
  <Lines>59</Lines>
  <Paragraphs>39</Paragraphs>
  <CharactersWithSpaces>689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冯强</dc:creator>
  <cp:lastModifiedBy>李紫萌</cp:lastModifiedBy>
  <cp:revision>0</cp:revision>
  <cp:lastPrinted>2025-09-05T01:32:34Z</cp:lastPrinted>
  <dcterms:created xsi:type="dcterms:W3CDTF">2025-07-16T06:21:43Z</dcterms:created>
  <dcterms:modified xsi:type="dcterms:W3CDTF">2025-09-25T10:18:20Z</dcterms:modified>
</cp:coreProperties>
</file>